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апелляционной и кассационной инстанций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Изменяя определение суда первой инстанции, суд апелляционной инстанции, исследовав и оценив представленные в материалы дела доказательства, руководствуясь положениями гражданского и процессуального законодательства, исходил из отсутствия оснований для замены в порядке 2 процессуального правопреемства взыскателя по исполнительному листу, выданному на основании решения суда по настоящему делу, поскольку заявителем не представлено доказательств, подтверждающих переход к нему права требования по названному исполнительному листу. Суд округа поддержал выводы апелляционного суда, не установив при этом нарушений норм процессуального права, мотивированно отклонив доводы заявителя. Доводы кассационной жалобы не подтверждают существенных нарушений судами апелляционной и кассационной инстанций норм права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Кузнецовой Ангелины Олеговны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