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в кассационном порядке указанные судебные акты в части взыскания неустойки.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Принимая судебные акты в обжалуемой части, суды,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2 исходили из установленного факта нарушения ответчиком договорных обязательств, правомерности начисления истцом неустойки и отсутствия оснований для снижения ее размера.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«Стройтех-Оскол»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