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инстанции и округа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 содержания судебных актов следует, что суд апелляционной инстанции, частично удовлетворяя иск, всесторонне исследовал доказательства по делу, установил необходимые для разрешения спора обстоятельства, а суд округа 2 дал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дела. Доводы кассационной жалобы не подтверждают существенных нарушений судами апелляционной и кассационной инстанций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«Центр комплектации строительства»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