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Суд апелляционной инстанции, с которым согласился суд округа, исследовав и оценив представленные в материалы дела доказательства, руководствуясь положениями законодательства, регулирующего спорные правоотношения, исходя из установленных обстоятельств ненадлежащего выполнения ответчиком работ по договору, определив стоимость 2 неподлежащих оплате работ с учетом заключения судебной экспертизы, пришел к выводу об отсутствии у ответчика оснований для удержания денежных средств, возникновении на его стороне неосновательного обогащения и, скорректировав размер процентов за пользование чужими денежными средствами, частично удовлетворил исковые требования. Из содержания судебных актов следует, что суд апелляционной инстанции всесторонне исследовал доказательства по делу, установил необходимые для разрешения спора обстоятельства, а суд округа дал надлежащую правовую оценку доводам заявителя.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«АСДМ»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