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Отменяя постановление суда апелляционной инстанции и направляя дело на новое рассмотрение в апелляционный суд, суд округа, не принимая судебного акта по существу спора, указал на необходимость исследования обстоятельств, имеющих значение для правильного разрешения спора. 2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Следует отметить, что после направления судом округа дела на новое рассмотрение суд апелляционной инстанции рассмотрел спор по существу и принял постановление от 26.09.2023. В случае несогласия с принятым при новом рассмотрении дела постановлением апелляционного суда заявитель вправе обжаловать его в установленном законом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«Организация событий»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