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Возвращая исковое заявление, суд первой инстанции, руководствуясь положениями статьи 27 Арбитражного процессуального кодекса Российской Федерации, разъяснениями, изложенными в пункте 3 постановления Пленума Верховного Суда Российской Федерации и Пленума Высшего Арбитражного Суда Российской Федерации от 18.08.1992 № 12/12 «О некоторых вопросах подведомственности дел судам и арбитражным судам», разделе VI (вопрос 4) Обзора судебной практики Верховного Суда Российской Федерации 1 (2014), утвержденного Президиумом Верховного Суда Российской Федерации 24.12.2014, исходил из того, что истцом является гражданин, не имеющий статуса индивидуального предпринимателя, ввиду чего рассмотрение настоящего спора не относится к компетенции арбитражного суда. Суды апелляционной инстанции и округа поддержали выводы суда первой инстанции, дополнительно указав на непредставление заявителем доказательств обращения с аналогичным требованием в суд общей юрисдикции и отказа в принятии данного заявления, либо прекращения производства по такому делу в связи с тем, что рассмотрение дела не отнесено к компетенции соответствующего суда общей юрисдикции.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ГУ ФССП России по Санкт-Петербургу (подробнее) Иные лица: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