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Верховного Суда Российской Федерации от 07.09.2023 заявителю кассационной жалобы была предоставлена отсрочка по уплате государственной пошлины до окончания производства по рассмотрению кассационной жалобы. Учитывая, что производство по рассмотрению кассационной жалобы 2 завершено, государственная пошлина в сумме 3 000 рублей подлежит взысканию с общества с ограниченной ответственностью «ПСК (Производство, Строительство, Коммерция)»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«ПСК (Производство, Строительство, Коммерция)»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«ПСК (Производство, Строительство, Коммерция)» в доход федерального бюджета государственную пошлину в размере 3 000 (три тысячи) рублей. Арбитражному суду Кемеровской области выдать исполнительный лист на взыскание государственной пошлины.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