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Оценив представленные в материалы дела доказательства, суды трех инстанций, руководствуясь положениями статей 346.12, 346.13, 346.14, 346.19 Налогового кодекса Российской Федерации, правовой позицией, изложенной в пункте 7 Обзора практики рассмотрения судами дел, связанных с применением глав 26.2 и 26.5 Налогового кодекса Российской Федерации в отношении субъектов малого и среднего предпринимательства, утвержденного Президиумом Верховного Суда Российской Федерации 04.07.2018, пришли к выводу об отсутствии оснований для признания оспоренных действий (бездействия) налогового органа незаконными. Судебные инстанции указали на правомерность оставления без рассмотрения заявления общества об изменении ранее выбранного объекта 2 налогообложения по упрощенной системе налогообложения, представленного за пределами срока, установленного пунктом 2 статьи 346.14 Налогового кодекса Российской Федерации. Доводы, изложенные в кассационной жалобе, основаны на ошибочном применении положений законодательства к установленным обстоятельствам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«ПиццаЦаЦа»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