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 заявителя о том, что им в суде апелляционной инстанции был заявлен отвод председательствующему судье, но данное заявление не было рассмотрено в установленном порядке, подлежит отклонению, поскольку в нарушение требований части 2 статьи 24 Арбитражного процессуального кодекса Российской Федерации общество своевременно не реализовало предусмотренное данной нормой право и подало заявление об отводе судьи после начала рассмотрения дела по существу в суде апелляционной инстанции. Довод кассационной жалобы о несоблюдении судами первой и апелляционной инстанций процедуры проверки заявления о фальсификации доказательств подлежит отклонению, поскольку проверка легитимности решений общего собрания собственников помещений многоквартирного дома 2 выходит за рамки предмета спора об оспаривании ненормативного правового акта жилищной инспекции об отказе во внесении изменений в реестр лицензий города Москвы и подлежит оценке при оспаривании действительности решения общего собрания (пункт 6 статьи 46 Жилищного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24/7»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