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указанный судебный акт подана заявителем в электронном виде 20.10.2023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2 пропуска уважительными и если не истекли предусмотренные статьями 259, 276, 291.2, 308.1 и 312 АПК РФ предельные допустимые сроки для восстановления. Обжалуемое постановление Арбитражного суда Восточно-Сибирского округа от 12.05.2023 вступило в законную силу, согласно части 5 статьи 289 АПК РФ, со дня его принятия – 12.05.2023, следовательно, двухмесячный срок на подачу кассационной жалобы истек 12.07.2023, тогда как жалоба подана 20.10.2023. Одновременно с подачей жалобы Дамбаевым Б.Г. заявлено ходатайство о восстановлении пропущенного процессуального срока, однако, уважительные причины пропуска срока не указаны. Лицо, ходатайствующее о восстановлении пропущенного срока, должно не только указать причины его пропуска, но и представить суду доказательства невозможности совершить соответствующее процессуальное действие в установленный срок. Никаких уважительных причин пропуска процессуального срока на подачу жалобы заявителем не приведено, в связи с чем не имеется оснований для его восстановления. Ссылка заявителя на то, что финансовый управляющий имуществом должника не обратился с жалобой в Верховный Суд Российской Федерации не свидетельствует об уважительности причины пропуска срока и не может продлевать установленный законом процессуальный срок на обжалование судебного акта.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Дамбаеву Б.Г. в удовлетворении ходатайства о восстановлении пропущенного процессуального срока подачи кассационной жалобы на постановление Арбитражного суда Восточно-Сибирского округа от 12.05.2023 по делу № А10-3596/2017 Арбитражного суда Республики Бурятия. Жалобу Дамбаева Б.Г.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