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Чалая Е.Г. 19.10.2023 подает кассационную жалобу на судебные акты по делу № А32-50273/2020 с ходатайством о восстановлении срока на обжалование. В обоснование пропуска срока подачи кассационной жалобы заявитель указывает на правовую неграмотность.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Названная заявителем причина не носит объективного характера и не влечет восстановления срока, поэтому кассационная жалоба возвращается без рассмотрения по существу.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Чалой Елене Геннадьевне в восстановлении срока подачи кассационной жалобы на определение Арбитражного суда Краснодарского края от 02.02.2023, постановление Пятнадцатого арбитражного апелляционного суда от 21.04.2023 и постановление Арбитражного суда Северо-Кавказского округа от 15.06.2023 по делу № А32-50273/2020. Возвратить Чалой Елене Геннадьевне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