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Аминев Вадим Артурович обратился в суд с заявлением о признании недействительными сделками платежей, совершённых должником в период с 03.06.2019 по 24.03.2021 в пользу бывшего руководителя должника Целковнева Сергея Викторовича в общем размере 3 888 200 рублей; применении последствий недействительности сделок. Определением Арбитражного суда города Москвы от 15.06.2022, оставленным без изменения постановлениями Девятого арбитражного апелляционного суда от 24.08.2022 и Арбитражного суда Московского округа от 13.12.2022,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28.08.2023 материалы дела № А40-45286/2021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статьями 2, 19, пунктами 1 и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платежей, совершённых в период подозрительности и причинивших вред имущественным правам кредиторов необоснованным перечислением заинтересованному лицу подотчётных денежных средств при неподтверждённости их расходования на нужды должника или возврата последнему. Выводы судов соответствуют нормам права, оснований для переоценки этих выводов не имеется. Результаты рассмотрения доводов кассационной жалобы, изучения обжалуемых заявителем судебных актов и материалов истребованного дела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