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Переверзева С.В. в Арбитражный суд города Москвы поступило заявление финансового управляющего имуществом должника Сафоновой А.Н. о разрешении разногласий между ООО «Ист Вэй» и финансовым управляющим относительно определения требований ООО «Ист Вэй» к должнику в размере 3 179 000 рублей, подтвержденных определением Арбитражного суда Калининградской области от 05.07.2022 по делу № А21-15116/2019, в качестве реестровых или текущих требований. Определением Арбитражного суда города Москвы от 29.03.2023 разногласия разрешены: требование ООО «Ист Вэй» размере 1 821 000 рублей является текущим, в размере 1 358 000 рублей - реестровым требованием. Постановлением Девятого арбитражного апелляционного суда от 02.06.2023 определение суда первой инстанции оставлено без изменения. Арбитражный суд Московского округа постановлением от 31.08.2023 указанные судебные акты оставил без изменения. ООО «Ист Вэй» обратилось в Судебную коллегию Верховного Суда Российской Федерации с кассационной жалобой на принятые судебные акты в 2 части отнесения требования общества к реестровым требованиям,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разногласия в обжалуемой части, суды руководствовались статьями 5, 60 Федерального закона от 26.10.2002 № 127-ФЗ «О несостоятельности (банкротстве)», разъяснениями, изложенными в пункте 10 постановления Пленума Высшего Арбитражного Суда Российской Федерации от 23.07.2009 № 63 «О текущих платежах по денежным обязательствам в деле о банкротстве», и, установив, что требование кредитора основано на снятии должником денежных средств до возбуждения в отношении должника дела о банкротстве, признали спорное требование реестровым.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