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«Домейн» обратилось в Арбитражный суд Сахалинской области с иском о взыскании с ООО «Восток Тур» 1 320 480 рублей неосновательного обогащения и 32 867 рублей 30 копеек процентов за пользование чужими денежными средствами за период с 16.06.2022 по 30.09.2022. Решением Арбитражного суда Сахалинской области от 22.02.2023, оставленным без изменения постановлением Пятого арбитражного апелляционного суда от 02.05.2023 и постановлением Арбитражного суда Дальневосточного округа от 13.07.2023, в удовлетворении иска отказано. ООО «Домейн»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проанализировав условия дополнительного соглашения и установив, что ответчиком удержаны установленные соглашением сторон штрафные санкции с учетом срока отказа истца от услуг исполнителя, руководствуясь положениями статей 421, 431, 434, 781, 782, 1102 Гражданского кодекса Российской Федерации, разъяснениями, приведенными в пункте 15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сделали вывод об отсутствии на стороне ответчика неосновательно сбереженных денежных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