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цепочки последовательно совершенных сделок по отчуждению имущества должника – квартиры кадастровый номер 77:01:0001027:3965, заключенного между должником и Головиновым П.Н. договора купли–продажи недвижимого имущества от 05.10.2017 и последующие договоры купли–продажи недвижимого имущества, на основании которых в ЕГРН внесены записи о государственной регистрации права собственности на указанную квартиру Круглякова В.С., Хачатуряна Георгия Карленовича, Зотовой Ольги Евгеньевны; применении последствий недействительности сделок в виде признания утратившим права собственности на спорную квартиру Зотовой О.Е.; признании за должником права собственности на указанную квартиру; обязании Управления Федеральной службы государственной регистрации, кадастра и картографии по Москве исключить из ЕГРН записи о государственной регистрации права собственности Головинова П.Н., Круглякова В.С., Хачатуряна Г.К., Зотовой О.Е. на квартиру и восстановить в ЕГРН запись о государственной регистрации права собственности должника на квартиру, восстановления обязательства должника перед Головиновым П.Н. в размере 13 000 000 рублей. 2 Определением Арбитражного суда города Севастополя от 04.08.2022 договор купли–продажи от 05.10.2017, заключенный между должником и Головиновым П.Н., признан недействительной сделкой. Применены последствия недействительности сделки в виде восстановления обязательства должника перед Головиновым П.Н. в размере 13 000 000 рублей. В остальной части в удовлетворении заявленных требований отказано. Постановлением Двадцать первого арбитражного апелляционного суда от 26.12.2022 определение суда первой инстанции отменено, в удовлетворении заявления отказано. Постановлением Арбитражного суда Центрального округа от 29.06.2023 указанные судебные акты отменены, обособленный спор направлен на новое рассмотрение в Арбитражный суд города Севастополя. В кассационной жалобе, поданной в Верховный Суд Российской Федерации, заявители просят отменить постановление суда округа и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кассационных жалоб таких оснований не установлено. Отменяя судебные акты и направляя обособленный спор на новое рассмотрение, суд округа исходил из неполного исследования судами всей цепочки сделок купли–продажи квартиры, что привело к преждевременным выводам и вынесению необоснованных судебных актов.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соответствуют нормам права, оснований для переоценки этих выводов не имеется. В связи с тем, что вопрос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