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по вопросу очерёдности уплаты суммы НДС, восстановленного после реализации имущества должника (эстакады НЗС). Определением Арбитражного суда Московской области от 13.07.2022 в удовлетворении заявления отказано. Постановлением Десятого арбитражного апелляционного суда от 26.09.2022 данное определение отменено. Определена очерёдность уплаты НДС в первом квартале 2022 года в следующем порядке: 17 997 545 рублей 95 копеек в порядке включения в третью очередь реестра требований кредиторов путём подачи соответствующего заявления, 1 546 610 рублей 33 копейки в порядке отнесения к текущим платежам пятой очереди. Постановлением Арбитражного суда Московского округа от 17.08.2023 отменено постановление апелляционного суда от 26.09.2022, определение суда первой инстанции от 13.07.2022 оставлено в силе. В кассационных жалобах, поданных в Верховный Суд Российской Федерации, заявители просят отменить постановление суда округа, оставить в силе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статьями 163, 166, 170 Налогового кодекса Российской Федерации, статьями 5, 134 Федерального закона от 26.10.2002 № 127-ФЗ «О несостоятельности (банкротстве)», исходил из возникновения обязанности должника по восстановлению НДС в четвёртом квартале 2021 года, то есть после возбуждения дела о банкротстве, в связи с чем признал правильными выводы суда первой инстанции о том, что подлежащая восстановлению сумма НДС является текущим требованием и подлежит удовлетворению в составе пятой очереди текущих платежей.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заявителей с выводами суда округа, основанными на установленных фактических обстоятельствах дела, не свидетельствует о неправильном применении судом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