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Иркутской области от 05.10.2022 требование муниципального унитарного предприятия «Водоканал» г. Иркутска (далее – предприятие) в размере 2 103 851 рублей задолженности признано обоснованным и подлежащим удовлетворению за счёт имущества должника, оставшегося после удовлетворения требований кредиторов, включенных в реестр требований кредиторов должника. Конкурсный кредитор обратился в суд с заявлением о принятии дополнительного решения. Определением Арбитражного суда Иркутской области от 19.12.2022, оставленным без изменения постановлениями Четвёртого арбитражного апелляционного суда от 03.04.2023 и Арбитражного суда Восточно–Сибирского округа от 26.06.2023,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и подтверждая законность такого отказа, суды, руководствуясь положениями статьи 178 Арбитражного процессуального кодекса Российской Федерации, исходили из того, что требование рассмотрено полностью, каких – либо дополнительных вопросов, подлежащих разрешению по существу, не имелось, отметив недопустимость изменения содержания ранее принятого и вступившего в законную силу судебного акта (установившего реестровый, а не текущий характер задолженности должника перед предприятием). Выводы судов соответствуют нормам права, оснований для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Поскольку вопрос о законности определения суда первой инстанции от 05.10.2022 не был предметом проверки суда округа по существу, суд приходит к выводу, что кассационная жалоба заявителя на данное определение подана в Верховный Суд Российской Федерации с нарушением правил инстанционной подсудности, в связи с чем производство по ней в названной части подлежит прекращению применительно к пункту 1 части 1 статьи 150 Арбитражного процессуального кодекса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Иркутской области от 19.12.2022, постановления Четвёртого арбитражного апелляционного суда от 03.04.2023 и постановления Арбитражного суда Восточно–Сибирского округа от 26.06.2023 по делу № А19-10134/2016. Производство по кассационной жалобе в части обжалования определения Арбитражного суда Иркутской области от 05.10.2022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