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Иркутской области от 18.01.2023, оставленным без изменения постановлением Четвертого арбитражного апелляционного суда от 03.04.2023 и постановлением Арбитражного суда Восточно-Сибирского округа от 28.06.2023, Положение утверждено в редакции, предложенной финансовым управляющим. В кассационной жалобе ФИО1 просит об отмене судебных актов, ссылаясь на несоответствие Положения принципу единства судьбы земельного участка и нежилого помещения, раздельная реализация которых уменьшает цену и нарушает права должника и его кредиторов.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Принцип единства включенной в Положение спорной доли земельного участка, соответствующей принадлежащему должнику нежилому помещению в здании, имеет значение в случае определения залоговым кредитором условий продажи нежилого помещения. Учитывая, что в представленное на утверждение суда Положение доля земельного участка включена только по факту отказа залогового кредитора от ее совместной с помещением реализации, предлагаемые финансовым управляющим условия продажи доли не должны соответствовать указанному принципу и не нарушают имущественных прав должника и его кредиторов, на что правильно указали суды.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"АЗИАТСКО-ТИХООКЕАНСКИЙ БАНК" (подробнее) АО "Банк Русский Стандарт" (подробнее) Межрайонная инспекция федеральной налоговой службы №24 по Иркутской области (подробнее) ООО "Демокрит" (подробнее) ООО "Райффайзенбанк" (подробнее) ПАО Банк ВТБ (подробнее) ПАО "Сбербанк России" (подробнее) ПАО "Совкомбанк" (подробнее) Иные лица: 4ААС (подробнее) Межрайонный отдел судебных приставов по исполнению ИД неимущественного характера УФССП по Иркутской области (подробнее) МУП Ангарского городского округа "Ангарский Водоканал" (подробнее) ООО "Антей" (подробнее) ООО "Байкальская энергетическая компания" (подробнее) ООО "Иркутская энергосбытовая компания" (подробнее) ООО "Территориальная ремонтно-эксплуатационная компания" (подробнее) Союз "Саморегулируемая организация арбитражных управляющих "Альянс"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