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03.11.2022, оставленным без изменения постановлением Первого арбитражного апелляционного суда от 13.03.2023 и постановлением Арбитражного суда Волго-Вятского округа от 06.07.2023, в удовлетворении заявления отказано. В кассационной жалобе Гаранина О.Е.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доказательства в подтверждение наличия и размера заемных обязательств должника суды признали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в реестре. Требуемый переоценка обстоятельств спора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Гараниной Оксане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