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Бекбулатова Ф.Х. определением Арбитражного суда Московской области от 20.10.2022 требования Галимова А.С. признаны обоснованными и включены в третью очередь реестра требований кредиторов должника в размере 251 133 000 рублей и 70 113 000 рублей. Бекбулатов Ф.Х. обратился в Десятый арбитражный апелляционной суд с жалобой на определение суда первой инстанции. Определением Десятого арбитражного апелляционного суда от 05.06.2023 апелляционная жалоба возвращена на основании пункта 3 части 1 статьи 264 Арбитражного процессуального кодекса Российской Федерации. Арбитражный суд Московского округа постановлением от 17.08.2023 определение суда апелляционной инстанции отменил и направил апелляционную жалобу для рассмотрения по существу в Десятый арбитражный апелляционный суд. Галимов А.С. обратился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определение суда о возвращении апелляционной жалобы и направляя ее на рассмотрение в Десятый арбитражный апелляционный суд, окружной суд действовал в пределах полномочий, предусмотренных статьями 287, 288 Арбитражного процессуального кодекса Российской Федерации и исходил из значительной просрочки судов и необходимости реализации права на судебную защиту.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