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Дитюка А.И. определением Арбитражного суда города Москвы от 17.04.2023 ходатайство должника о приостановлении производства по делу, прекращении производства по делу, рассмотрении дела с самого начала, фальсификации, сообщении о преступлениях, отмене судебных актов, утверждении плана реструктуризации долгов гражданина оставлено без удовлетворения. Определением Арбитражного суда Московского округа от 19.06.2023 кассационная жалоба Дитюка А.И. на определение Арбитражного суда города Москвы от 17.04.2023 возвращена на основании пункта 5 части 1 статьи 281 Арбитражного процессуального кодекса Российской Федерации, поскольку подана на судебный акт, который не был обжалован в арбитражный суд апелляционной инстанции. Кроме того, кассационная жалоба подана на судебные акты, обжалование которых в кассационном порядке процессуальным законодательством не предусмотрено. Арбитражный суд Московского округа определением от 31.07.2023 определение окружного суда оставил без изменения. 2 Дитюк А.И.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Кассационная жалоба в остальной части на иные указанные заявителем судебные акты рассмотрению в рамках настоящего кассационного производства не подлежит.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