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обратилась в Арбитражный суд Чувашской Республики - Чувашии с исковым заявлением к обществу о взыскании 6 463 600 руб. неосновательного обогащения. Решением Арбитражного суда Чувашской Республики - Чувашии от 18.07.2022, оставленным без изменения постановлением Первого арбитражного апелляционного суда от 08.12.2022 и постановлением Арбитражного суда Волго-Вятского округа от 27.03.2023, иск удовлетворен. Определением Судебной коллегии по экономическим спорам Верховного Суда Российской Федерации от 24.10.2023 обжалуемые судебные акты отменены, дело направлено на новое рассмотрение в Арбитражный суд Чувашской Республики - Чувашии. В надзорной жалобе заявитель, ссылаясь на наличие оснований, предусмотренных статьей 308.8 Арбитражного процессуального кодекса Российской Федерации, просит отменить определение Судебной коллегии от 24.10.2023 и оставить в силе ранее принятые по делу судебные акты. Согласно пункту 1 части 6 статьи 308.4 Арбитражного процессуального кодекса Российской Федерации (далее – АПК РФ) по результатам изучения надзорной жалобы судья Верховного Суда Российской Федерации выносит определение об отказе в передаче жалобы для рассмотрения в судебном заседании Президиума Верховного Суда Российской Федерации, если отсутствуют основания для пересмотра судебных постановлений в порядке надзора. Основания для отмены или изменения судебных постановлений в порядке надзора предусмотрены статьей 308.8 АПК РФ . К ним относится нарушение обжалуемым судебным постановлением прав и свобод человека и гражданина, гарантированных Конституцией Российской Федерации, общепризнанными принципами и нормами международного права, международными договорами Российской Федерации; прав и законных интересов неопределенного круга лиц или иных публичных интересов; единообразия в применении и (или) толковании судами норм права. Изучив изложенные в надзорной жалобе доводы и принятые по делу судебные акты, судья Верховного Суда Российской Федерации не находит таких оснований. Разрешая спор по настоящему делу и определяя на стороне ответчика неосновательное обогащение в размере уплаченных ему истцом денежных средств за строительство котельной в рамках договора, суды исходили из преюдициального значения вступившего в законную силу решения суда общей юрисдикции по делу № 2-1516/2021, которым помещение котельной и находящееся в нем движимое имущество признаны общим имуществом собственников помещений многоквартирного дома, а право собственности компании на это имущество прекращено. Отменяя судебные акты и направляя дело на новое рассмотрение, Судебная коллегия руководствовалась статьей 1102 Гражданского кодекса Российской Федерации, разъяснениями, изложенными в пункте 4 постановления Пленума Высшего Арбитражного Суда Российской Федерации от 11.07.2011 № 54 «О некоторых вопросах разрешения споров, возникающих из договоров по поводу недвижимости, которая будет создана или приобретена в будущем», и исходила из того, что судами не исследованы все обстоятельства, имеющие существенное значение для правильного разрешения спора. В частности, Коллегия указала на то, что суды не дали оценку разногласиям и возражениям сторон относительно правовой природы спорного договора, не исследовали вопрос (при наличии противоречивых сведений) о моменте возведения и введения в эксплуатацию котельной, за строительство которой истец уплатил ответчику испрашиваемые денежные средства, отметив предположительный характер ссылки окружного суда на строительство спорного объекта за счет дольщиков, поскольку данное обстоятельство судами первой и апелляционной инстанций не исследовалось и имеющимися в деле доказательствами не подтверждено. Не обладая полномочиями по оценке доказательств и установлению фактических обстоятельств дела, Судебная коллегия правомерно направила дело на новое рассмотрение. Приведенные заявителем в надзорной жалобе доводы, основанные на его несогласии с выводами Судебной коллегии, не свидетельствуют о наличии оснований, предусмотренных статьей 308.8 Арбитражного процессуального кодекса Российской Федерации для пересмотра дела в порядке надзора, и могут быть заявлены им при новом рассмотрении спора в суде первой инстанции. Руководствуясь статьями 308.4 и 308.6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«Сельский комфорт» в передаче надзорной жалобы для рассмотрения в судебном заседании Президиума Верховного Суда Российской Федерации. Судья Г.Г. Кирейкова Суд: Верховный Суд РФ (подробнее) Истцы: ООО "Управляющая компания "Сельский комфорт" (подробнее) Ответчики: АО "Специализированный застройщик "Ипотечная корпорация Чувашской Республики" (подробнее) Иные лица: Верховный Суд Российской Федерации (подробнее) ООО "Газпром межрегионгаз Чебоксары" (подробнее) Судьи дела: Кирейкова Г.Г. (судья)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