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То обстоятельство, что предложение региональным оператором условий, отличающихся от тех, которые представляются собственнику твердых коммунальных отходов наиболее выгодными, а Управлению Федеральной антимонопольной службы по Республике Коми – более обоснованными, учитывая разъяснения Пленума Верховного Суда Российской Федерации, изложенные в пункте 14 постановления от 04.03.2021 № 2 «О некоторых вопросах, возникающих в связи с применением судами антимонопольного законодательства», само по себе не свидетельствует о злоупотреблении доминирующим положением. При этом правомерность включения в договор с собственником твердых 2 коммунальных отходов периодичности их вывоза, установленной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для несортированных отходов, равно как установление иной периодичности – исходя из особенностей хозяйственной деятельности собственника твердых коммунальных отходов и обслуживания его со стороны регионального оператора, как правильно отмечено судами, являются предметом гражданско-правового спора, который в силу статьи 445 Гражданского кодекса Российской Федерации подлежит разрешению в судебном порядке, а не антимонопольным органом.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