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«Ремвооружение» (далее – общество) обратилось в суд с заявлением о включении в реестр требований кредиторов должника (далее – реестр) основного долга и процентов за пользование суммой займа в общем размере 569 680 рублей 84 копеек. Определением Арбитражного суда Калужской области от 17.03.2023, оставленным без изменения постановлениями Двадцатого арбитражного апелляционного суда от 26.05.2023 и Арбитражного суда Центрального округа от 14.08.2023,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313, 395 Гражданского кодекса Российской Федерации, статьями 71, 100, 142 Федерального закона от 26.10.2002 № 127-ФЗ «О несостоятельности (банкротстве)», исходили из того, что требование общества подтверждено документально и не исполнено должником, в связи с чем признали его обоснованным и включили в реестр без понижения в очерёдности удовлетворения. Выводы судов соответствуют нормам права, оснований для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