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Седляр Владислав Николаевич обратился в суд с заявлением о признании недействительной сделкой акта зачёта встречных однородных требований от 17.11.2016, заключенного между должником и обществом; применении последствий недействительности сделки. Определением Арбитражного суда города Москвы от 18.01.2023 в удовлетворении заявления отказано. Постановлением Девятого арбитражного апелляционного суда от 15.03.2023, оставленным без изменения постановлением Арбитражного суда Московского округа от 10.07.2023, данное определение отменено; заявление удовлетворено.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статьями 10, 168, пунктом 2 статьи 170 Гражданского кодекса Российской Федерации, статьёй 61.9 Федерального закона от 26.10.2002 № 127-ФЗ «О несостоятельности (банкротстве)», исходили из доказанности совокупности условий для признания недействительной (ничтожной) сделки, прикрывавшей безвозмездный вывод реального актива неплатёжеспособного должника в пользу общества. Выводы судов апелляционной инстанции и округа соответствуют нормам права, оснований для переоценки этих выводов не имеется. Доводы заявителя были предметом рассмотрения судов апелляционной инстанции и округа,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