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заявитель, ссылаясь на нарушение судами апелляционной и кассационной инстанций норм права, просит пересмотреть указанные судебные акты в кассационном порядке. Кассационная жалоба в части обжалования постановления Девятого арбитражного апелляционного суда от 27.09.2022, оставленного без изменения постановлением Арбитражного суда Московского округа от 19.01.2023, подлежит возврату заявителю на основании пункта 3 части 1 статьи 291.5 Арбитражного процессуального кодекса Российской Федерации (далее – АПК РФ) в связи с пропуском процессуального срока подачи жалобы, предусмотренного частью 1 статьи 291.2 АПК РФ, и отсутствием ходатайства о его восстановлении.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2 экономической деятельности, а также защита охраняемых законом публичных интересов (статья 291.11 АПК РФ). Доводы кассационной жалобы и материалы дела не подтверждают существенных нарушений судом округа норм процессуального права, приведших к судебной ошибке существенного и непреодолимого характера при рассмотрении вопроса о принятии кассационной жалобы к производству,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Катаевой Валерии Евгеньевны в части обжалования постановления Девятого арбитражного апелляционного суда от 27.09.2022 по делу № А40-87698/2022 возвратить заявителю. В остальной части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