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с ограниченной ответственностью «Братское монтажное управление «Гидроэлектромонтаж» обратился в суд с заявлением о признании недействительными решений собрания кредиторов должника от 23.12.2022. Определением Арбитражного суда города Москвы от 05.05.2023 в удовлетворении заявления отказано. Постановлением Девятого арбитражного апелляционного суда от 12.07.2023 данное определение отменено, заявление удовлетворено. В кассационной жалобе, поданной в Верховный Суд Российской Федерации, заявитель просит отменить постановление апелляционного суда,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спору определение и удовлетворяя заявление конкурсного кредитора, апелляционный суд, руководствуясь статьями 12, 13, 15 Федерального закона от 26.10.2002 № 127-ФЗ «О несостоятельности (банкротстве)», признал недействительными оспариваемые решения ввиду несоблюдения конкурсным управляющим порядка уведомления о времени проведения очередного собрания конкурсных кредиторов должника, что привело к нарушению их прав и законных интересов. Выводы апелляционного суда соответствуют нормам права, основания для переоценки данных выводов по доводам жалобы отсутствуют. Несогласие заявителя с выводами апелляционного суда, основанными на установленных фактических обстоятельствах дела и оценке доказательств, не свидетельствует о неправильном применении судом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