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спора определением Арбитражного суда Республики Башкортостан от 07.12.2022, в удовлетворении заявления Ведерникова Т.Е. отказано, заявление Аюповой З.Х. удовлетворено. Восемнадцатый арбитражный апелляционный суд постановлением от 27.03.2023 и Арбитражный суд Уральского округа постановлением от 19.06.2023 оставили без изменения определение от 07.12.2022. В кассационной жалобе Галеева И.Н. просит об отмене судебных актов, ссылаясь на неправомерное предоставление права преимущественного 2 приобретения нежилого здания собственнику земельного участка и игнорирование допущенного последним злоупотребления правом.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право на приобретение здания собственником земельного участка, следуя правилу о единстве судьбы этих объектов, основанному на статье 35 Земельного кодекса Российской Федерации и ее официальном судебном толковании. Оспариваемые торги и заключенные по их итогу договоры признаны недействительными как нарушающие указанное правило в силу статей 168, 449 Гражданского кодекса Российской Федерации с применением соответствующих последствий. Реализация заявителем законного права не может быть отнесена к злоупотреблению.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Галеевой Ирине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