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Чепиковой Ольги Георгиевны в Арбитражный суд Краснодарского края обратилось АО «Юридическое Бюро ФАКТОРИУС» с заявлением об истребовании у должника и ООО «АКОНА» документов и пояснений. Определением Арбитражного суда Краснодарского края от 25.04.2023 в удовлетворении ходатайства о привлечении к участию в деле в качестве третьих лиц Чепикова О.М. и Чепикову В.М. отказано; ходатайство об истребовании сведений отклонено. Постановлением Пятнадцатого арбитражного апелляционного суда от 08.06.2023 определение суда первой инстанции оставлено без изменения. Арбитражный суд Северо-Кавказского округа постановлением от 08.08.2023 указанные судебные акты оставил без изменения. АО «Юридическое Бюро ФАКТОРИУС» обратилось в Судебную коллегию Верховного Суда Российской Федерации с кассационной жалобой на принятые по результатам рассмотрения ходатайства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ходатайства, суды руководствовались положениями статьи 66 Арбитражного процессуального кодекса Российской Федерации, статьями 20.3, 60, 213.9 Федерального закона от 26.10.2002 № 127-ФЗ «О несостоятельности (банкротстве)» и исходили из того, что должником представлены пояснения относительно испрашиваемого договора подряда и даны объяснения по всем поставленным перед должником вопросам.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