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«Новосибирскавтодор» обратилось в Арбитражный суд Новосибирской области с иском о взыскании с ООО «Гарант-Строй» 2 390 000 рублей убытков. К участию в деле в качестве третьих лиц, не заявляющих самостоятельных требований относительно предмета спора, привлечены Семикозов Ю.А., МУП города Новосибирска «Новосибирская энергосетевая компания». Решением Арбитражного суда Новосибирской области от 21.10.2022 иск удовлетворен. Постановлением Седьмого арбитражного апелляционного суда от 17.04.2023 решение суда первой инстанции оставлено без изменения. Арбитражный суд Западно-Сибирского округа постановлением от 25.07.2023 указанные судебные акты оставил без изменения. ООО «Гарант-Строй» обратилось в Судебную коллегию по экономическим спорам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иск, суды,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в том числе выводы эксперта по результатам комплексной судебно-технической экспертизы, квалифицировав правоотношения сторон как вытекающие из договора перевозки, установив, что причиной выхода из строя навигационного оборудования является проявление последствий воздействия повышенного напряжения, при этом перевозка осуществлена с превышением предельных габаритов транспортного средства по высоте в отсутствие специального разрешения, по маршруту следования имелось мостовое сооружение с ограниченным движением по высоте и над проезжими частями проходят токоведущие провода, руководствуясь положениями статей 15, 393, 785, 793,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Правилами обеспечения безопасности перевозок автомобильным транспортом и городским наземным электрическим транспортом, утвержденными приказом Минтранса России от 30.04.2021 № 146, пришли к выводу, что именно ответчик как перевозчик должен был принять меры по сохранности груза в процессе транспортировки и не превышать габаритные значения при его перевозке.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