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23.09.2022 признано обоснованным заявление ИФНС России № 28 по г. Москве, в отношении ФИО1 введена процедура реструктуризации долгов гражданина; финансовым управляющим должника утвержден ФИО2; в третью очередь реестра требований кредиторов должника включены требования ИФНС России № 28 по г. Москве в размере 762 018 рублей основного долга, 16 975 рублей 29 копеек пени с учетом пункта 3 статьи 137 Федерального закона от 26 октября 2002 года № 127-ФЗ «О несостоятельности (банкротстве)»; требование уполномоченного органа в размере 1 526 502 рублей оставлено без рассмотрения; в остальной части в удовлетворении заявления отказано. Постановлением Девятого арбитражного апелляционного суда от 05.12.2022 определение суда первой инстанции изменено; резолютивная часть определения изложена в следующей редакции: «Включить в третью очередь удовлетворения реестра требований кредиторов должника требования ИФНС № 28 по г. Москве в размере 3 562 867 рублей основного долга и 308 767 рублей 55 копеек пени». Должник обратился в Арбитражный суд Московского округа с кассационной жалобой на принятые по делу судебные акты. Определением Арбитражного суда Московского округа от 08.02.2023 кассационная жалоба возвращена на основании пункта 2 части 1 статьи 281 Арбитражного процессуального кодекса Российской Федерации в связи с пропуском срока ее подачи и отказом в удовлетворении ходатайства о его восстановлении. Арбитражный суд Московского округа определением от 28.03.2023 определение окружного суда о возвращении жалобы оставил без изменения. ФИО1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кассационной жалобы, суд кассационной инстанции руководствовался положениями статей 117 , 123 , 188 , 176 , 281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что явилось основанием для возврата кассационной жалобы.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возвращении жалобы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№28 по г.Москве (подробнее) Иные лица: Ассоциация "СГАУ"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