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12.12.2022, оставленным без изменения постановлением Тринадцатого арбитражного апелляционного суда от 20.03.2023 и постановлением Арбитражного суда Северо-Западного округа от 29.06.2023, в удовлетворении иска отказано. В кассационной жалобе предприниматель просит об отмене судебных актов, ссылаясь на игнорирование ненадлежащего поведения перевозчика, утилизировавшего поврежденный груз.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недоказанность предпринимателем повреждения груза на сумму, превышающую сумму страховой выплаты, и основанную на договоре утилизацию груза в связи с несовершением предпринимателем в отношении него действий. Требуемое в жалобе изменение оценки обстоятельств дела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Буйко Максиму Григорьевичу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