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31.01.2023, оставленным без изменения постановлением Десятого арбитражного апелляционного суда от 30.03.2023 и постановлением Арбитражного суда Московского округа от 26.06.2023, в удовлетворении заявления отказано. В кассационной жалобе Корчагина Н.В. просит об отмене судебных актов, ссылаясь на неправильные определение значимых обстоятельств спора и применение норм материального права.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исходя из доводов жалобы не усматривается. Суды установили, что квартира находится в залоге и заявитель является ее созалогодателем, поэтому в силу статьи 353 Гражданского кодекса Российской Федерации и статей 7, 38 Федерального закона от 16.07.1998 № 102-ФЗ «Об ипотеке (залоге недвижимости)» заявление не подлежит удовлетворению. Иные оценка обстоятельств спора и толкование норм материального права не составляют оснований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Корчагиной Наталье Викторовне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