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Верховного Суда Российской Федерации находится кассационная жалоба общества на вышеуказанный судебный акт. 19.10.2023 от общества поступило ходатайство об отзыве кассационной жалобы. В соответствии с пунктом 4 части 1 статьи 2915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Из материалов кассационного производства усматривается, что отзыв кассационной жалобы не противоречит закону и не нарушает прав других лиц. При таких обстоятельствах ходатайство об отзыве кассационной жалобы подлежит удовлетворению, а жалоба - возврату без рассмотрения по существу. Руководствуясь статьями 184 и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«Т-Транс». Кассационную жалобу на постановление Арбитражного суда Северо-Кавказского округа от 18.07.2023 по делу № А53-39722/2022 Арбитражного суда Ростовской области возвратить заявителю. Судья Верховного Суда Российской Федерации М.К. Антонова Суд: Верховный Суд РФ (подробнее) Истцы: ООО "Т-Транс" (подробнее) ОООТ-Транс (подробнее) Ответчики: Министерство транспорта Ростовской области (подробнее) Федеральная антимонопольная служба (подробнее) Иные лица: АО "ЕДИНАЯ ЭЛЕКТРОННАЯ ТОРГОВАЯ ПЛОЩАДКА"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