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23.12.2022, оставленным без изменения постановлением Девятого арбитражного апелляционного суда от 03.04.2023 и постановлением Арбитражного суда Московского округа от 27.06.2023, в удовлетворении заявления отказано. В кассационной жалобе Панина Ю.В. просит о пересмотре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влияния заявленного обстоятельства на существо определения, необходимого для пересмотра его в силу пункта 1 части 2 статьи 311 Арбитражного процессуального кодекса Российской Федерации. Доводы заявителя получили оценку и не создают оснований для кассационного пересмотра судебных актов.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Паниной Юлии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