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Московского округа от 07.07.2023, оставленным без изменения определением того же суда от 17.08.2023, жалоба Багманяна Д.С. на постановление Девятого арбитражного апелляционного суда от 12.10.2022 возвращена в связи с пропуском срока подачи и отказом в восстановлении срока. В кассационной жалобе Багманян Д.С. просит отменить судебные акты, ссылаясь на неосновательное лишение права на защиту.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 округа оценил приведенную причину пропуска срока на подачу кассационной жалобы и установил отсутствие у нее объективного характера. Отказ в восстановлении пропущенного процессуального срока соответствует части 2 статьи 117 и пункту 2 части 1 статьи 281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Багманяну Давиду Суреновичу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