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01.02.2023 требования Мансурова А.С. включены в реестр требований о передаче жилых помещений, в четвертую очередь реестра включено требование об уплате процентов за пользование чужими денежными средствами в размере 260 252 рублей 24 копеек отдельно. Постановлением Пятнадцатого арбитражного апелляционного суда от 20.04.2023, оставленным без изменения постановлением Арбитражного суда Северо-Кавказского округа от 19.06.2023, определение от 01.02.2023 изменено: в четвертую очередь реестра включено требование об уплате процентов за пользование чужими денежными средствами в размере 153 018 рублей 44 отдельно; в остальной части определение от 01.02.2023 оставлено без изменения. 2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Мансурова А.С. обосновано, факт оплаты квартиры подтвержден, руководствуясь статьями 71, 100, 201.1, 201.7, 201.9 Федерального закона от 26.10.2002 № 127-ФЗ «О несостоятельности (банкротстве)»,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