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21.12.2022, оставленным без изменения постановлением Одиннадцатого арбитражного апелляционного суда от 27.03.2023, исковые требования удовлетворены. Постановлением Арбитражного суда Поволжского округа от 03.08.2023, решение и постановление апелляционного суда отменены, дело направлено на новое рассмотрение в суд первой инстанции. В кассационной жалобе общество «Трансойл»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несоответствие выводов судов первой и апелляционной инстанций имеющимся доказательствам, поэтому признал необходимость нового рассмотрения дела в соответствии со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"ТРАНСОЙЛ" (подробнее) Ответчики: АО "РН-Транс"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