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02.02.2023 требования Захаровой В.А. включены в реестр требований о передаче жилых помещений, в четвертую очередь реестра включено требование об уплате процентов за пользование чужими денежными средствами в размере 794 306 рублей 14 копеек отдельно. Постановлением Пятнадцатого арбитражного апелляционного суда от 03.05.2023, оставленным без изменения постановлением Арбитражного суда Северо-Кавказского округа от 22.06.2023, определение от 02.02.2023 изменено: в четвертую очередь реестра включено требование об уплате процентов за пользование чужими денежными средствами в размере 341 296 рублей 46 копеек как учитывающееся отдельно и подлежащее удовлетворению после погашения основной суммы задолженности и причитающихся процентов; в остальной части определение от 02.02.2023 оставлено без изменения. 2 В кассационной жалобе Чалая Е.Г.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требование Захаровой В.А. обосновано, факт оплаты квартир подтвержден, руководствуясь статьями 100, 201.1, 201.7, 201.9 Федерального закона от 26.10.2002 № 127-ФЗ «О несостоятельности (банкротстве)»,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суды удовлетворили заявление. Доводы, приведенные в кассационной жалобе, являлись предметом рассмотрения судов, получили надлежащую правовую оценку и не содержат оснований для пересмотра обжалуемых судебных актов в кассационном порядке Верховным Судом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Чалой Елене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