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27.02.2023, оставленным без изменения постановлением Семнадцатого арбитражного апелляционного суда от 26.04.2023 и постановлением Арбитражного суда Западно-Сибирского округа от 07.08.2023, должник обязан передать финансовому управляющему транспортное средство NISSAN PATROL, 1988 г.в. (г/н 2534ХАБ), в удовлетворении заявления финансового управляющего в остальной части, а также заявления должника отказано. В кассационных жалобах Губайдуллина Н.А. и Губайдуллин Р.Ш. просят об отмене судебных актов, ссылаясь на рассмотрение спора судом первой инстанции в незаконном составе, несоответствие выводов судов фактическим обстоятельствам дела и представленным доказательствам, игнорирование аффилированности арбитражных управляющих с кредиторами.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указали основание для замены судьи, являющееся объективным и не создающим условий для отвода. Доводы об отсутствии истребованного имущества, нарушениях в деятельности финансовых управляющих получили правовую оценку судов и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Губайдуллиной Надежде Алексеевне и Губайдуллину Рашиту Шайхулловичу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