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с ограниченной ответственностью «Проммашэкспо – I» обратился в суд с заявлением о признании недействительными сделками договора от 21.01.2017 № НЛЛ-01/01/17 на выполнение опытно-конструкторских работ и соглашения об отступном от 19.03.2018, заключенных между должником и обществом; применении последствий недействительности сделок. Определением Арбитражного суда города Москвы от 24.10.2022, оставленным без изменения постановлениями Девятого арбитражного апелляционного суда от 24.01.2023 и Арбитражного суда Московского округа от 28.06.2023,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170 Гражданского кодекса Российской Федерации, статьями 2, 19, пунктом 2 статьи 61.2 Федерального закона от 26.10.2002 № 127-ФЗ «О несостоятельности (банкротстве)», установив, что заинтересованное и осведомлённое о неплатёжеспособности должника общество безосновательно и безвозмездно получило ликвидное недвижимое имущество (нежилое здание и земельный участок) в счёт погашения долга по мнимому договору на выполнение опытно- конструкторских работ, причинив имущественный вред конкурсным кредиторам, пришли к выводам о наличии оснований для признания недействительными оспариваемых сделок,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