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Новосибирской области от 02.03.2023, оставленным без изменения постановлением Седьмого арбитражного апелляционного суда от 04.05.2023 и постановлением Арбитражного суда Западно-Сибирского округа от 10.07.2023, требование банка включено в третью очередь реестра как обеспеченное залогом квартиры должника. В кассационной жалобе Валеев З.Г. просит об отмене судебных актов, ссылаясь на надлежащее исполнение обязательств перед банком, приоритет законодательства о накопительно-ипотечной системе жилищного обеспечения военнослужащих.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Установив, что обязательство должника перед банком возникает из кредитного договора и наступило в связи с признанием судом обоснованным заявления должника о банкротстве, суды включили спорное требование в реестр. Судебные акты соответствуют статьям 100, 213.6, 213.24 Федерального закона от 26.10.2002 № 127-ФЗ «О несостоятельности (банкротстве)», разделу II Правил предоставления участникам накопительно-ипотечной системы жилищного обеспечения военнослужащих целевых жилищных займов, а также погашения целевых жилищных займов, утвержденных постановлением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Статус участника накопительно-ипотечной системы жилищного обеспечения военнослужащих не влияет на обязанность должника как стороны кредитного договора исполнить обязательства по возврату банку денежных средств.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Валееву Зуфару Гумаровичу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