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07.03.2023, оставленным без изменения постановлением Пятнадцатого арбитражного апелляционного суда от 19.05.2023 и постановлением Арбитражного суда Северо-Кавказского округа от 15.08.2023, иск удовлетворен. В кассационной жалобе ответчик просит об отмене судебных актов, ссылаясь на неприменение специального срока исковой давности в связи с неверной правовой квалификацией судами заключенного сторонами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ответственности и нарушение ответчиком обязательства, за которое она применяется, поэтому удовлетворили иск в соответствии с представленными доказательствами исполнения договора от 18.10.2019 № 433, его условиями и статьями 330 , 431 , 779 Гражданского кодекса Российской Федерации. Наличие критериев для уменьшения в силу статьи 333 Гражданского кодекса Российской Федерации суммы штрафа судами не установлено. При квалификации деятельности истца, с которой связан применимый срок исковой давности, суды руководствовались критериями, определенными судебной практикой.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«ЮПК-Логистические решения»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"РусБан" (подробнее) Ответчики: ООО "ЮПК-ЛОГИСТИЧЕСКИЕ РЕШЕНИЯ" (подробнее) ООО ЮПК ЛОГИЧЕСКИЕ РЕШЕНИЯ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