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27.12.2022, оставленным без изменения постановлением Девятого арбитражного апелляционного суда от 28.03.2023 и постановлением Арбитражного суда Московского округа от 23.06.2023, установлено, что денежные средства в размере 75 812 888 рублей, вырученные от реализации квартиры, пропорционально распределяются между супругами и причитающаяся Абазехову Хадису Часамбиевичу доля подлежит перечислению в его конкурсную массу. В кассационных жалобах Масякин А.Н. и ПАО «Банк ВТБ» просят об отмене судебных актов, ссылаясь на неправомерное распределение денежных средств между конкурсными массами супругов-должников при наличии общего обязательства.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В условиях банкротства обоих супругов поступившие от реализации общего имущества денежные распределены судами между конкурсными массами пропорционально долям супругов в общем имуществе в соответствии с правилом пункта 10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Масякину А.Н. и публичному акционерному обществу «Банк ВТБ»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