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Московский фонд защиты прав граждан – участников долевого строительства (далее – фонд) обратился в суд с заявлением об исключении из реестра требований участников строительства требования Евсеевой Е.И. о передаче двух жилых помещений (квартир) и о включении требования в размере 6 200 000 рублей в четвёртую очередь реестра денежных требований кредиторов должника. Определением Арбитражного суда города Москвы от 09.01.2023, оставленным без изменения постановлениями Девятого арбитражного апелляционного суда от 29.03.2023 и Арбитражного суда Московского округа от 22.06.2023, заявление удовлетворено. В кассационных жалобах, поданных в Верховный Суд Российской Федерации, заявители просят отменить названные судебные акты. Конкурсный управляющий настаивает на необходимости принятия нового судебного акта об отказе в удовлетворении требований фонда, Евсеева Е.И. просит направить обособленный спор на новое рассмотрение в суд первой инстанции.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и удовлетворяя заявление фонда, суды, руководствуясь статьями 201.1, 201.4, 201.9 Федерального закона от 26.10.2002 № 127-ФЗ «О несостоятельности (банкротстве)», статьёй 16 Федерального закона от 27.06.2019 № 151-ФЗ, исходили из того, что по состоянию на 27.06.2019 расчёты с кредиторами третьей очереди не начались, требование первоначального кредитора юридического лица (правопредшественника Соломатиной Светланы Александровны, уступившей это право требования заявителю) подлежало включению в четвёртую очередь реестра денежных требований кредиторов должника, а последующая уступка данного требования физическому лицу не должна изменять (повышать) очерёдность его удовлетворения. Выводы судов соответствуют нормам права, оснований для переоценки этих выводов не имеется. Несогласие заявителей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