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Шкурин Д.А. обратился в суд с ходатайством об установлении балансовой стоимости активов должника на дату открытия конкурсного производства в размере 24 737 000 рублей. Определением Арбитражного суда Краснодарского края от 03.04.2023, оставленным без изменения постановлениями Пятнадцатого арбитражного апелляционного суда от 15.06.2023 и Арбитражного суда Северо-Кавказского округа от 03.08.2023,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60 Федерального закона от 26.10.2002 № 127-ФЗ «О несостоятельности (банкротстве)», исходили из того, что разрешение вопроса об установлении действительной стоимости активов должника находится в компетенции самого управляющего и этот вопрос может быть передан на разрешение суда лишь при наличии какого-либо спора (в частности, жалобы на действия арбитражного управляющего, заявления арбитражного управляющего об установлении процентов по его вознаграждению, размер которых также поставлен в зависимость от балансовой стоимости активов должника, а также разногласий между конкурсным управляющим и кредиторами по указанному вопросу), которого в данном случае не имеется, что исключает удовлетворения настоящего требования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