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кредитор ФИО1 обратился в суд с заявлением о признании недействительными сделками платежей, совершённых в период с 17.12.2020 по 19.02.2021 должником в пользу общества на общую сумму 5 694 013 рублей; применении последствий недействительности сделок. Определением Арбитражного суда Челябинской области от 26.10.2022, оставленным без изменения постановлениями Восемнадцатого арбитражного апелляционного суда от 08.02.2023 и Арбитражного суда Уральского округа от 22.06.2023, заявление удовлетворено.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суд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статьёй 19 , пунктом 3 статьи 61.3 Федерального закона от 26.10.2002 № 127-ФЗ «О несостоятельности (банкротстве)», исходили из доказанности совокупности условий для признания недействительными сделками оспариваемых платежей по признаку оказания обществу предпочтения, совершённых в течение шести месяцев до возбуждения дела о банкротстве неплатёжеспособным должником при наличии неисполненных обязательств перед иными кредиторами, о чём общество знало и не могло не знать в силу фактической аффилированности с должником.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Несогласие заявителя с выводами судов,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ЗАО "Трест Севзапэнергомонтаж" (подробнее) ООО "Железная логика" (подробнее) ООО "КОМСОМОЛЬСКЭНЕРГОМОНТАЖ" (подробнее) ООО "Первая Арматурная Компания" (подробнее) ООО "Региональная транспортная компания" (подробнее) ООО "Уралреконструкция" (подробнее) ООО "Энерго Ресурс" (подробнее) УФСН России По Челябинской области (подробнее) Ответчики: ООО ПКФ "Металлоцентр Титан" (подробнее) Иные лица: Конкурсный управляющий Вешкин Алексей Кузьмич (подробнее) ООО "100 ТОНН МОНТАЖ" (подробнее) ООО "Арсенал" (подробнее) ООО ПМХ "Тагильская сталь" (подробнее) СОЮЗ "УРАЛЬСКАЯ САМОРЕГУЛИРУЕМАЯ ОРГАНИЗАЦИЯ АРБИТРАЖНЫХ УПРАВЛЯЮЩИХ" (подробнее) Федеральная служба государственной регистрации, кадастра и картографии по Челябинской области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