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Осьмушина А.С. в Арбитражный суд Пермского края обратился должник с заявлением о пересмотре по новым и вновь открывшимся обстоятельствам определения Арбитражного суда Пермского края от 29.11.2021 о прекращении производства по делу о банкротстве и определения Арбитражного суда Пермского края от 24.05.2021 и возобновлении производства по делу о банкротстве. Определением Арбитражного суда Пермского края от 17.03.2023, оставленным без изменения постановлением Семнадцатого арбитражного апелляционного суда от 31.05.2023 и постановлением Арбитражного суда Уральского округа от 21.08.2023, в удовлетворении заявления должника отказано. Осьмушин А.С.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судебных актов по новым и вновь открывшимся обстоятельствам доводы, руководствуясь положениями статей 309, 310, 311 Арбитражного процессуального кодекса Российской Федерации, суды пришли к выводу о том, что указанные заявителем обстоятельства не являются новыми или вновь открывшимися и не могут служить основанием для пересмотра судебных актов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