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30.09.2022, оставленным без изменения постановлением Первого арбитражного апелляционного суда от 10.03.2023 и постановлением Арбитражного суда Волго-Вятского округа от 20.06.2023, в удовлетворении заявления отказано. В кассационной жалобе банк просит об изменении мотивировочной части судебных актов в отношении выводов о подлежащем включению в конкурсную массу имуществе.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приняты в отношении конкретного имущественного объекта, определенная судьба которого не оспаривается банком.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