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октября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обратился в суд с заявлением о взыскании с бывшего руководителя должника Овчаренко Таира Кахрамоновича 75 000 000 рублей убытков, причинённых утратой имущества должника путём внесения его в уставной капитал общества с ограниченной ответственностью «Инвестпром» (далее – общество «Инвестпром»). Впоследствии ответчик заменён на участника и руководителя общества «Инвестпром» Плотникова Станислава Николаевич. К участию в обособленном споре в качестве соответчиков привлечены бывший конкурсный управляющий должником Текунова Рузанна Ильнуровна и Овчаренко Т.К. Определением Арбитражного суда Удмуртской Республики от 06.06.2022 с Овчаренко Т.К. и Текуновой Р.И. в пользу должника солидарно взыскано 75 000 000 рублей убытков. Постановлением Семнадцатого арбитражного апелляционного суда от 04.04.2023, оставленным без изменения постановлением Арбитражного суда Уральского округа от 06.07.2023, отменено определение суда первой инстанции от 06.06.2022 по безусловным основаниям; требования удовлетворены 2 частично; с Овчаренко Т.К. и Текуновой Р.И. в пользу должника солидарно взыскано 1 073 434 рублей убытков. В кассационной жалобе, поданной в Верховный Суд Российской Федерации, заявитель просит отменить постановления судов апелляционной инстанции и округа, принять новый судебный акт. Исходя из содержания настоящей жалобы, заявитель не согласен с обжалуемыми судебными актами в части определения размера убытков, подлежащих взысканию с Овчаренко Т.К. и Текуновой Р.И. Жалоба изучена в пределах изложенных в ней доводов.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в обжалуемой части, апелляционный суд, руководствуясь положениями статей 15, 53 и 53.1 Гражданского кодекса Российской Федерации, статей 82 и 87 Арбитражного процессуального кодекса Российской Федерации, пункта 4 статьи 20.4 Федерального закона от 26.10.2002 № 127-ФЗ «О несостоятельности (банкротстве)», исходили из того, что размер подлежащих взысканию убытков равен рыночной стоимости переданного имущества, которая определена по результатами судебной экспертизы. Суд округа поддержал выводы апелляционного суда. Выводы судов апелляционной инстанции и округа в обжалуемой части соответствуют нормам права, оснований для переоценки выводов судов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апелляционной инстанции и округа не допущено. Доводы заявителя, по сути, направлены на переоценку доказательств, что находится за пределами полномочий Судебной коллегии по экономическим спорам Верховного Суда Российской Федерации.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